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7C" w:rsidRPr="00785E7C" w:rsidRDefault="00785E7C" w:rsidP="00A14401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b/>
          <w:color w:val="4F4F4F"/>
          <w:sz w:val="23"/>
          <w:szCs w:val="23"/>
        </w:rPr>
      </w:pPr>
      <w:r w:rsidRPr="00785E7C">
        <w:rPr>
          <w:rFonts w:ascii="Verdana" w:hAnsi="Verdana"/>
          <w:b/>
          <w:color w:val="4F4F4F"/>
          <w:sz w:val="23"/>
          <w:szCs w:val="23"/>
        </w:rPr>
        <w:t xml:space="preserve">ZÁKAZ STARÝCH KOTLŮ </w:t>
      </w:r>
    </w:p>
    <w:p w:rsidR="00785E7C" w:rsidRDefault="00785E7C" w:rsidP="00A14401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4F4F4F"/>
          <w:sz w:val="23"/>
          <w:szCs w:val="23"/>
        </w:rPr>
      </w:pPr>
      <w:r>
        <w:rPr>
          <w:rFonts w:ascii="Verdana" w:hAnsi="Verdana"/>
          <w:color w:val="4F4F4F"/>
          <w:sz w:val="23"/>
          <w:szCs w:val="23"/>
        </w:rPr>
        <w:t>Dle § 17 odst. 1 písm. g) zákona č. 201/2012 Sb., o ochraně ovzduší, v platném znění, bude od 1. 9. 2022 zakázáno provozovat spalovací stacionární zdroje na pevná paliva o jmenovitém tepelném příkonu do 300 kW včetně, které slouží jako zdroje tepla pro teplovodní soustavu ústředního vytápění a které nejsou navrženy rovněž pro přímé vytápění místa instalace, v souladu s minimálními požadavky uvedenými v příloze č. 11 k tomuto zákonu. Příloha č. 11 obsahuje minimální emisní požadavky na spalovací stacionární zdroje pro oxid uhelnatý (CO), organické látky vyjádřené jako celkový organický uhlík (TOC) a tuhé znečišťující látky (TZL).</w:t>
      </w:r>
    </w:p>
    <w:p w:rsidR="00785E7C" w:rsidRDefault="00785E7C" w:rsidP="00A14401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4F4F4F"/>
          <w:sz w:val="23"/>
          <w:szCs w:val="23"/>
        </w:rPr>
      </w:pPr>
      <w:r>
        <w:rPr>
          <w:rFonts w:ascii="Verdana" w:hAnsi="Verdana"/>
          <w:color w:val="4F4F4F"/>
          <w:sz w:val="23"/>
          <w:szCs w:val="23"/>
        </w:rPr>
        <w:t>Požadavky přílohy č. 11 neplní staré kotle na pevná paliva, které jsou zařazeny do nižší než 3. třídy (dle ČSN EN 303-5). Třídu kotle je možné zjistit ze štítku kotle nebo návodu k použití, případně ji sdělí pracovník, který provádí pravidelnou kontrolu technického stavu a provozu kotle.</w:t>
      </w:r>
    </w:p>
    <w:p w:rsidR="00785E7C" w:rsidRDefault="00785E7C" w:rsidP="00A14401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4F4F4F"/>
          <w:sz w:val="23"/>
          <w:szCs w:val="23"/>
        </w:rPr>
      </w:pPr>
      <w:r>
        <w:rPr>
          <w:rFonts w:ascii="Verdana" w:hAnsi="Verdana"/>
          <w:color w:val="4F4F4F"/>
          <w:sz w:val="23"/>
          <w:szCs w:val="23"/>
        </w:rPr>
        <w:t>Pokud kotel nesplňuje alespoň třetí třídu dle výše uvedené normy, je nutné ho vyměnit co nejdříve, nejpozději k 1. 9. 2022.</w:t>
      </w:r>
    </w:p>
    <w:p w:rsidR="00785E7C" w:rsidRPr="00785E7C" w:rsidRDefault="00785E7C" w:rsidP="00A14401">
      <w:pPr>
        <w:shd w:val="clear" w:color="auto" w:fill="FFFFFF"/>
        <w:spacing w:before="300" w:after="300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4F4F4F"/>
          <w:sz w:val="26"/>
          <w:szCs w:val="26"/>
          <w:lang w:eastAsia="cs-CZ"/>
        </w:rPr>
      </w:pPr>
      <w:r w:rsidRPr="00785E7C">
        <w:rPr>
          <w:rFonts w:ascii="Verdana" w:eastAsia="Times New Roman" w:hAnsi="Verdana" w:cs="Times New Roman"/>
          <w:b/>
          <w:bCs/>
          <w:color w:val="4F4F4F"/>
          <w:sz w:val="26"/>
          <w:szCs w:val="26"/>
          <w:lang w:eastAsia="cs-CZ"/>
        </w:rPr>
        <w:t>Kontrola technického stavu a provozu spalovacích stacionárních zdrojů</w:t>
      </w:r>
    </w:p>
    <w:p w:rsidR="00785E7C" w:rsidRPr="00785E7C" w:rsidRDefault="00785E7C" w:rsidP="00A144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85E7C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Dle § 17 odst. 1 písm. h) zákona č. 201/2012 Sb., o ochraně ovzduší, v platném znění je povinností provozovatele zdroje provádět pravidelně (</w:t>
      </w:r>
      <w:r w:rsidRPr="00785E7C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nejméně jednou za tři roky</w:t>
      </w:r>
      <w:r w:rsidRPr="00785E7C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) kontrolu technického stavu a provozu zdroje (kotle). Tuto kontrolu musí provádět tzv. </w:t>
      </w:r>
      <w:r w:rsidRPr="00785E7C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odborně způsobilá osoba</w:t>
      </w:r>
      <w:r w:rsidRPr="00785E7C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, která je fyzickou osobou proškolenou výrobcem spalovacího stacionárního zdroje, od kterého má udělené oprávnění k instalaci, provozu a údržbě zdroje.</w:t>
      </w:r>
    </w:p>
    <w:p w:rsidR="005E6F62" w:rsidRDefault="005E6F62">
      <w:bookmarkStart w:id="0" w:name="_GoBack"/>
      <w:bookmarkEnd w:id="0"/>
    </w:p>
    <w:sectPr w:rsidR="005E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B6"/>
    <w:rsid w:val="005E6F62"/>
    <w:rsid w:val="00733A06"/>
    <w:rsid w:val="00785E7C"/>
    <w:rsid w:val="00A14401"/>
    <w:rsid w:val="00A5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785E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85E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85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785E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85E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85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2021-04-29T10:18:00Z</dcterms:created>
  <dcterms:modified xsi:type="dcterms:W3CDTF">2021-04-29T10:18:00Z</dcterms:modified>
</cp:coreProperties>
</file>